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EF" w:rsidRDefault="006D18EF" w:rsidP="006D18EF">
      <w:pPr>
        <w:pStyle w:val="Default"/>
      </w:pPr>
    </w:p>
    <w:p w:rsidR="006D18EF" w:rsidRDefault="006D18EF" w:rsidP="006D18EF">
      <w:pPr>
        <w:pStyle w:val="Default"/>
        <w:rPr>
          <w:color w:val="24364A"/>
          <w:sz w:val="30"/>
          <w:szCs w:val="30"/>
        </w:rPr>
      </w:pPr>
      <w:r>
        <w:t xml:space="preserve"> </w:t>
      </w:r>
      <w:r>
        <w:rPr>
          <w:color w:val="24364A"/>
          <w:sz w:val="30"/>
          <w:szCs w:val="30"/>
        </w:rPr>
        <w:t xml:space="preserve">Защита от </w:t>
      </w:r>
      <w:proofErr w:type="spellStart"/>
      <w:r>
        <w:rPr>
          <w:color w:val="24364A"/>
          <w:sz w:val="30"/>
          <w:szCs w:val="30"/>
        </w:rPr>
        <w:t>кибермошенничества</w:t>
      </w:r>
      <w:proofErr w:type="spellEnd"/>
      <w:r>
        <w:rPr>
          <w:color w:val="24364A"/>
          <w:sz w:val="30"/>
          <w:szCs w:val="30"/>
        </w:rPr>
        <w:t xml:space="preserve"> </w:t>
      </w:r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292B2C"/>
          <w:sz w:val="23"/>
          <w:szCs w:val="23"/>
        </w:rPr>
        <w:t>Кибермошенничество</w:t>
      </w:r>
      <w:proofErr w:type="spellEnd"/>
      <w:r>
        <w:rPr>
          <w:rFonts w:ascii="Segoe UI" w:hAnsi="Segoe UI" w:cs="Segoe UI"/>
          <w:b/>
          <w:bCs/>
          <w:color w:val="292B2C"/>
          <w:sz w:val="23"/>
          <w:szCs w:val="23"/>
        </w:rPr>
        <w:t xml:space="preserve"> </w:t>
      </w:r>
      <w:r>
        <w:rPr>
          <w:rFonts w:ascii="Segoe UI" w:hAnsi="Segoe UI" w:cs="Segoe UI"/>
          <w:color w:val="292B2C"/>
          <w:sz w:val="23"/>
          <w:szCs w:val="23"/>
        </w:rPr>
        <w:t xml:space="preserve">- один из видов </w:t>
      </w:r>
      <w:proofErr w:type="spellStart"/>
      <w:r>
        <w:rPr>
          <w:rFonts w:ascii="Segoe UI" w:hAnsi="Segoe UI" w:cs="Segoe UI"/>
          <w:color w:val="292B2C"/>
          <w:sz w:val="23"/>
          <w:szCs w:val="23"/>
        </w:rPr>
        <w:t>киберпреступлений</w:t>
      </w:r>
      <w:proofErr w:type="spellEnd"/>
      <w:r>
        <w:rPr>
          <w:rFonts w:ascii="Segoe UI" w:hAnsi="Segoe UI" w:cs="Segoe UI"/>
          <w:color w:val="292B2C"/>
          <w:sz w:val="23"/>
          <w:szCs w:val="23"/>
        </w:rPr>
        <w:t xml:space="preserve"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др.). </w:t>
      </w:r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  <w:r>
        <w:rPr>
          <w:rFonts w:ascii="Segoe UI" w:hAnsi="Segoe UI" w:cs="Segoe UI"/>
          <w:color w:val="292B2C"/>
          <w:sz w:val="23"/>
          <w:szCs w:val="23"/>
        </w:rPr>
        <w:t xml:space="preserve">В эпоху цифровых технологий мошенничество принимает всё более изощрённые формы. Особую актуальность приобретают вопросы безопасности в интернете, защиты личных данных и финансовой безопасности. </w:t>
      </w:r>
    </w:p>
    <w:p w:rsidR="006D18EF" w:rsidRDefault="006D18EF" w:rsidP="006D18EF">
      <w:pPr>
        <w:pStyle w:val="Default"/>
        <w:spacing w:after="71"/>
        <w:rPr>
          <w:rFonts w:ascii="Segoe UI" w:hAnsi="Segoe UI" w:cs="Segoe UI"/>
          <w:color w:val="292B2C"/>
          <w:sz w:val="23"/>
          <w:szCs w:val="23"/>
        </w:rPr>
      </w:pPr>
      <w:r>
        <w:rPr>
          <w:rFonts w:ascii="Segoe UI" w:hAnsi="Segoe UI" w:cs="Segoe UI"/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292B2C"/>
          <w:sz w:val="23"/>
          <w:szCs w:val="23"/>
        </w:rPr>
        <w:t xml:space="preserve">Раздел </w:t>
      </w:r>
      <w:r>
        <w:rPr>
          <w:rFonts w:ascii="Segoe UI" w:hAnsi="Segoe UI" w:cs="Segoe UI"/>
          <w:color w:val="38659F"/>
          <w:sz w:val="23"/>
          <w:szCs w:val="23"/>
        </w:rPr>
        <w:t>«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Кибербезопасность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 — это просто!» </w:t>
      </w:r>
      <w:r>
        <w:rPr>
          <w:rFonts w:ascii="Segoe UI" w:hAnsi="Segoe UI" w:cs="Segoe UI"/>
          <w:color w:val="292B2C"/>
          <w:sz w:val="23"/>
          <w:szCs w:val="23"/>
        </w:rPr>
        <w:t xml:space="preserve">на портале </w:t>
      </w:r>
      <w:proofErr w:type="spellStart"/>
      <w:r>
        <w:rPr>
          <w:rFonts w:ascii="Segoe UI" w:hAnsi="Segoe UI" w:cs="Segoe UI"/>
          <w:color w:val="292B2C"/>
          <w:sz w:val="23"/>
          <w:szCs w:val="23"/>
        </w:rPr>
        <w:t>Госуслуг</w:t>
      </w:r>
      <w:proofErr w:type="spellEnd"/>
      <w:r>
        <w:rPr>
          <w:rFonts w:ascii="Segoe UI" w:hAnsi="Segoe UI" w:cs="Segoe UI"/>
          <w:color w:val="292B2C"/>
          <w:sz w:val="23"/>
          <w:szCs w:val="23"/>
        </w:rPr>
        <w:t xml:space="preserve">, посвященный безопасному поведению в интернете </w:t>
      </w:r>
    </w:p>
    <w:p w:rsidR="006D18EF" w:rsidRDefault="006D18EF" w:rsidP="006D18EF">
      <w:pPr>
        <w:pStyle w:val="Default"/>
        <w:spacing w:after="71"/>
        <w:rPr>
          <w:rFonts w:ascii="Segoe UI" w:hAnsi="Segoe UI" w:cs="Segoe UI"/>
          <w:color w:val="292B2C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>«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Киберзож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» </w:t>
      </w:r>
      <w:r>
        <w:rPr>
          <w:rFonts w:ascii="Segoe UI" w:hAnsi="Segoe UI" w:cs="Segoe UI"/>
          <w:color w:val="292B2C"/>
          <w:sz w:val="23"/>
          <w:szCs w:val="23"/>
        </w:rPr>
        <w:t xml:space="preserve">— проект Министерства цифрового развития, связи и массовых коммуникаций России, направленный на повышение цифровой грамотности россиян </w:t>
      </w:r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  <w:proofErr w:type="gramStart"/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>Программа «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Сетевичок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: школьная защита от интернет-мошенников» </w:t>
      </w:r>
      <w:r>
        <w:rPr>
          <w:rFonts w:ascii="Segoe UI" w:hAnsi="Segoe UI" w:cs="Segoe UI"/>
          <w:color w:val="292B2C"/>
          <w:sz w:val="23"/>
          <w:szCs w:val="23"/>
        </w:rPr>
        <w:t xml:space="preserve">— программа, разработанная для всех педагогических и руководящих работников образования, которая превращает разработанные при поддержке ФСБ РФ методические рекомендации в практические инструменты ежедневной работы </w:t>
      </w:r>
      <w:proofErr w:type="gramEnd"/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  <w:r>
        <w:rPr>
          <w:rFonts w:ascii="Segoe UI" w:hAnsi="Segoe UI" w:cs="Segoe UI"/>
          <w:b/>
          <w:bCs/>
          <w:color w:val="292B2C"/>
          <w:sz w:val="23"/>
          <w:szCs w:val="23"/>
        </w:rPr>
        <w:t xml:space="preserve">Методические рекомендации: </w:t>
      </w:r>
    </w:p>
    <w:p w:rsidR="006D18EF" w:rsidRDefault="006D18EF" w:rsidP="006D18EF">
      <w:pPr>
        <w:pStyle w:val="Default"/>
        <w:spacing w:after="88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для педагогической общественности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для родительской общественности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</w:p>
    <w:p w:rsidR="006D18EF" w:rsidRDefault="006D18EF" w:rsidP="006D18EF">
      <w:pPr>
        <w:pStyle w:val="Default"/>
        <w:rPr>
          <w:rFonts w:ascii="Segoe UI" w:hAnsi="Segoe UI" w:cs="Segoe UI"/>
          <w:color w:val="292B2C"/>
          <w:sz w:val="23"/>
          <w:szCs w:val="23"/>
        </w:rPr>
      </w:pPr>
      <w:r>
        <w:rPr>
          <w:rFonts w:ascii="Segoe UI" w:hAnsi="Segoe UI" w:cs="Segoe UI"/>
          <w:b/>
          <w:bCs/>
          <w:color w:val="292B2C"/>
          <w:sz w:val="23"/>
          <w:szCs w:val="23"/>
        </w:rPr>
        <w:t xml:space="preserve">Полезные материалы: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Как защитить ребенка от </w:t>
      </w:r>
      <w:proofErr w:type="gramStart"/>
      <w:r>
        <w:rPr>
          <w:rFonts w:ascii="Segoe UI" w:hAnsi="Segoe UI" w:cs="Segoe UI"/>
          <w:color w:val="38659F"/>
          <w:sz w:val="23"/>
          <w:szCs w:val="23"/>
        </w:rPr>
        <w:t>интернет-мошенников</w:t>
      </w:r>
      <w:proofErr w:type="gramEnd"/>
      <w:r>
        <w:rPr>
          <w:rFonts w:ascii="Segoe UI" w:hAnsi="Segoe UI" w:cs="Segoe UI"/>
          <w:color w:val="38659F"/>
          <w:sz w:val="23"/>
          <w:szCs w:val="23"/>
        </w:rPr>
        <w:t xml:space="preserve">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Схемы защиты от дистанционного мошенничества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Куда обращаться если Вы стали жертвой мошенничества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Типичные методы, которые используют мошенники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Виды дистанционных хищений </w:t>
      </w:r>
    </w:p>
    <w:p w:rsidR="006D18EF" w:rsidRDefault="006D18EF" w:rsidP="006D18EF">
      <w:pPr>
        <w:pStyle w:val="Default"/>
        <w:spacing w:after="369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Что делать если звонят мошенники под видом правоохранительных органов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>Как не стать связующим звеном в преступной деятельности (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дропперы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)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</w:p>
    <w:p w:rsidR="006D18EF" w:rsidRDefault="006D18EF" w:rsidP="006D18EF">
      <w:pPr>
        <w:pStyle w:val="Default"/>
        <w:pageBreakBefore/>
        <w:rPr>
          <w:rFonts w:ascii="Segoe UI" w:hAnsi="Segoe UI" w:cs="Segoe UI"/>
          <w:color w:val="38659F"/>
          <w:sz w:val="23"/>
          <w:szCs w:val="23"/>
        </w:rPr>
      </w:pPr>
    </w:p>
    <w:p w:rsidR="006D18EF" w:rsidRDefault="006D18EF" w:rsidP="006D18EF">
      <w:pPr>
        <w:pStyle w:val="Default"/>
        <w:spacing w:after="90"/>
        <w:rPr>
          <w:rFonts w:ascii="Segoe UI" w:hAnsi="Segoe UI" w:cs="Segoe UI"/>
          <w:color w:val="38659F"/>
          <w:sz w:val="23"/>
          <w:szCs w:val="23"/>
        </w:rPr>
      </w:pPr>
      <w:r>
        <w:rPr>
          <w:rFonts w:ascii="Segoe UI" w:hAnsi="Segoe UI" w:cs="Segoe UI"/>
          <w:color w:val="292B2C"/>
          <w:sz w:val="20"/>
          <w:szCs w:val="20"/>
        </w:rPr>
        <w:t xml:space="preserve"> 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Фишинг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 - как распознать и как защититься </w:t>
      </w:r>
    </w:p>
    <w:p w:rsidR="006D18EF" w:rsidRDefault="006D18EF" w:rsidP="006D18EF">
      <w:pPr>
        <w:pStyle w:val="Default"/>
        <w:spacing w:after="90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Инвестиции как способ мошенничества </w:t>
      </w:r>
    </w:p>
    <w:p w:rsidR="006D18EF" w:rsidRDefault="006D18EF" w:rsidP="006D18EF">
      <w:pPr>
        <w:pStyle w:val="Default"/>
        <w:spacing w:after="90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Мошенничество в 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гейминге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 </w:t>
      </w:r>
    </w:p>
    <w:p w:rsidR="006D18EF" w:rsidRDefault="006D18EF" w:rsidP="006D18EF">
      <w:pPr>
        <w:pStyle w:val="Default"/>
        <w:spacing w:after="90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Доступ к 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СИМ-карте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 под видом оператора связи </w:t>
      </w:r>
    </w:p>
    <w:p w:rsidR="006D18EF" w:rsidRDefault="006D18EF" w:rsidP="006D18EF">
      <w:pPr>
        <w:pStyle w:val="Default"/>
        <w:spacing w:after="90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Безопасные покупки в интернете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  <w:r>
        <w:rPr>
          <w:color w:val="292B2C"/>
          <w:sz w:val="20"/>
          <w:szCs w:val="20"/>
        </w:rPr>
        <w:t xml:space="preserve"> </w:t>
      </w:r>
      <w:r>
        <w:rPr>
          <w:rFonts w:ascii="Segoe UI" w:hAnsi="Segoe UI" w:cs="Segoe UI"/>
          <w:color w:val="38659F"/>
          <w:sz w:val="23"/>
          <w:szCs w:val="23"/>
        </w:rPr>
        <w:t xml:space="preserve">Как защититься от </w:t>
      </w:r>
      <w:proofErr w:type="spellStart"/>
      <w:r>
        <w:rPr>
          <w:rFonts w:ascii="Segoe UI" w:hAnsi="Segoe UI" w:cs="Segoe UI"/>
          <w:color w:val="38659F"/>
          <w:sz w:val="23"/>
          <w:szCs w:val="23"/>
        </w:rPr>
        <w:t>кибербуллинга</w:t>
      </w:r>
      <w:proofErr w:type="spellEnd"/>
      <w:r>
        <w:rPr>
          <w:rFonts w:ascii="Segoe UI" w:hAnsi="Segoe UI" w:cs="Segoe UI"/>
          <w:color w:val="38659F"/>
          <w:sz w:val="23"/>
          <w:szCs w:val="23"/>
        </w:rPr>
        <w:t xml:space="preserve"> </w:t>
      </w:r>
    </w:p>
    <w:p w:rsidR="006D18EF" w:rsidRDefault="006D18EF" w:rsidP="006D18EF">
      <w:pPr>
        <w:pStyle w:val="Default"/>
        <w:rPr>
          <w:rFonts w:ascii="Segoe UI" w:hAnsi="Segoe UI" w:cs="Segoe UI"/>
          <w:color w:val="38659F"/>
          <w:sz w:val="23"/>
          <w:szCs w:val="23"/>
        </w:rPr>
      </w:pPr>
    </w:p>
    <w:p w:rsidR="0036144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материалы представлены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иске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https://disk.yandex.ru/d/qDQvvOJ_sQY9Qw</w:t>
        </w:r>
      </w:hyperlink>
    </w:p>
    <w:p w:rsidR="006D18E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36144F" w:rsidRDefault="0036144F" w:rsidP="006D18EF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</w:p>
    <w:p w:rsidR="006D18EF" w:rsidRDefault="006D18EF" w:rsidP="006D18EF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Методические рекомендации по ссылкам: </w:t>
      </w:r>
    </w:p>
    <w:p w:rsidR="0036144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 xml:space="preserve">Для педагогической общественности - </w:t>
      </w:r>
      <w:hyperlink r:id="rId6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https://office.dvinaland.ru/~PQYE6</w:t>
        </w:r>
      </w:hyperlink>
    </w:p>
    <w:p w:rsidR="006D18EF" w:rsidRDefault="006D18EF" w:rsidP="006D18EF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36144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 xml:space="preserve">Для родительской общественности - </w:t>
      </w:r>
      <w:hyperlink r:id="rId7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https://offi</w:t>
        </w:r>
        <w:bookmarkStart w:id="0" w:name="_GoBack"/>
        <w:bookmarkEnd w:id="0"/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c</w:t>
        </w:r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e.dvinaland.ru/~7kFkb</w:t>
        </w:r>
      </w:hyperlink>
    </w:p>
    <w:p w:rsidR="006D18EF" w:rsidRDefault="006D18EF" w:rsidP="006D18EF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36144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 — это просто!» - </w:t>
      </w:r>
      <w:hyperlink r:id="rId8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https://www.gosuslugi.ru/cybersecurity</w:t>
        </w:r>
      </w:hyperlink>
    </w:p>
    <w:p w:rsidR="006D18EF" w:rsidRDefault="006D18EF" w:rsidP="006D18EF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6D18EF" w:rsidRDefault="006D18EF" w:rsidP="006D18EF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Киберзож</w:t>
      </w:r>
      <w:proofErr w:type="spellEnd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» - </w:t>
      </w:r>
      <w:hyperlink r:id="rId9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https://киберзож.рф/</w:t>
        </w:r>
      </w:hyperlink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36144F" w:rsidRDefault="0036144F" w:rsidP="006D18EF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</w:p>
    <w:p w:rsidR="00632153" w:rsidRDefault="006D18EF" w:rsidP="006D18EF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Сетевичок</w:t>
      </w:r>
      <w:proofErr w:type="spellEnd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: школьная защита от </w:t>
      </w:r>
      <w:proofErr w:type="gramStart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>интернет-мошенников</w:t>
      </w:r>
      <w:proofErr w:type="gramEnd"/>
      <w:r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» - </w:t>
      </w:r>
      <w:hyperlink r:id="rId10" w:history="1">
        <w:r w:rsidR="0036144F" w:rsidRPr="004347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https://www.единыйурок.рф/index.php/item/20740</w:t>
        </w:r>
      </w:hyperlink>
    </w:p>
    <w:p w:rsidR="0036144F" w:rsidRDefault="0036144F" w:rsidP="006D18EF"/>
    <w:sectPr w:rsidR="0036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40"/>
    <w:rsid w:val="0036144F"/>
    <w:rsid w:val="00632153"/>
    <w:rsid w:val="006D18EF"/>
    <w:rsid w:val="00A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14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1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14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1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yber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.dvinaland.ru/~7kFk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ffice.dvinaland.ru/~PQYE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qDQvvOJ_sQY9Qw" TargetMode="External"/><Relationship Id="rId10" Type="http://schemas.openxmlformats.org/officeDocument/2006/relationships/hyperlink" Target="https://www.&#1077;&#1076;&#1080;&#1085;&#1099;&#1081;&#1091;&#1088;&#1086;&#1082;.&#1088;&#1092;/index.php/item/20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80;&#1073;&#1077;&#1088;&#1079;&#1086;&#107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2025-07-17T19:38:00Z</dcterms:created>
  <dcterms:modified xsi:type="dcterms:W3CDTF">2025-07-17T19:40:00Z</dcterms:modified>
</cp:coreProperties>
</file>